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7641A" w:rsidRDefault="00000000">
      <w:pPr>
        <w:pBdr>
          <w:top w:val="nil"/>
          <w:left w:val="nil"/>
          <w:bottom w:val="nil"/>
          <w:right w:val="nil"/>
          <w:between w:val="nil"/>
        </w:pBdr>
        <w:spacing w:before="240" w:after="0" w:line="240" w:lineRule="auto"/>
        <w:ind w:firstLine="0"/>
        <w:rPr>
          <w:rFonts w:eastAsia="Calibri" w:cs="Calibri"/>
          <w:b/>
          <w:color w:val="000000"/>
          <w:sz w:val="28"/>
          <w:szCs w:val="28"/>
          <w:u w:val="single"/>
        </w:rPr>
      </w:pPr>
      <w:proofErr w:type="spellStart"/>
      <w:r>
        <w:rPr>
          <w:rFonts w:eastAsia="Calibri" w:cs="Calibri"/>
          <w:b/>
          <w:color w:val="000000"/>
          <w:sz w:val="28"/>
          <w:szCs w:val="28"/>
          <w:u w:val="single"/>
        </w:rPr>
        <w:t>ACPEinc</w:t>
      </w:r>
      <w:proofErr w:type="spellEnd"/>
      <w:r>
        <w:rPr>
          <w:rFonts w:eastAsia="Calibri" w:cs="Calibri"/>
          <w:b/>
          <w:color w:val="000000"/>
          <w:sz w:val="28"/>
          <w:szCs w:val="28"/>
          <w:u w:val="single"/>
        </w:rPr>
        <w:t xml:space="preserve"> Standard</w:t>
      </w:r>
    </w:p>
    <w:p w14:paraId="00000002" w14:textId="77777777" w:rsidR="0017641A" w:rsidRDefault="00000000">
      <w:pPr>
        <w:pBdr>
          <w:top w:val="nil"/>
          <w:left w:val="nil"/>
          <w:bottom w:val="nil"/>
          <w:right w:val="nil"/>
          <w:between w:val="nil"/>
        </w:pBdr>
        <w:spacing w:before="240" w:after="0" w:line="240" w:lineRule="auto"/>
        <w:ind w:firstLine="0"/>
        <w:rPr>
          <w:rFonts w:eastAsia="Calibri" w:cs="Calibri"/>
          <w:b/>
          <w:color w:val="000000"/>
          <w:sz w:val="24"/>
          <w:szCs w:val="24"/>
        </w:rPr>
      </w:pPr>
      <w:r>
        <w:rPr>
          <w:rFonts w:eastAsia="Calibri" w:cs="Calibri"/>
          <w:b/>
          <w:color w:val="000000"/>
          <w:sz w:val="24"/>
          <w:szCs w:val="24"/>
        </w:rPr>
        <w:t xml:space="preserve">Section 1.01.c Eligibility of Candidates for Doctorates in Psychoanalysis </w:t>
      </w:r>
      <w:r>
        <w:rPr>
          <w:rFonts w:eastAsia="Calibri" w:cs="Calibri"/>
          <w:color w:val="000000"/>
          <w:sz w:val="24"/>
          <w:szCs w:val="24"/>
        </w:rPr>
        <w:t>A program may, at its discretion, accept candidates for programs leading to a doctorate in Psychoanalysis. The program shall have in place detailed written criteria of eligibility for admission to these programs. It is expected that the criteria for candidates for a doctorate in Psychoanalysis will include that they will have successfully completed a course of training in clinical psychoanalysis. If the training was in a different program, the curriculum will have been evaluated to assure that it is equivalent to that of the program offering the degree.</w:t>
      </w:r>
    </w:p>
    <w:p w14:paraId="00000003" w14:textId="77777777" w:rsidR="0017641A" w:rsidRDefault="00000000">
      <w:pPr>
        <w:pBdr>
          <w:top w:val="nil"/>
          <w:left w:val="nil"/>
          <w:bottom w:val="nil"/>
          <w:right w:val="nil"/>
          <w:between w:val="nil"/>
        </w:pBdr>
        <w:spacing w:before="240" w:after="0" w:line="240" w:lineRule="auto"/>
        <w:ind w:firstLine="0"/>
        <w:rPr>
          <w:rFonts w:eastAsia="Calibri" w:cs="Calibri"/>
          <w:color w:val="000000"/>
          <w:sz w:val="24"/>
          <w:szCs w:val="24"/>
        </w:rPr>
      </w:pPr>
      <w:r>
        <w:rPr>
          <w:rFonts w:eastAsia="Calibri" w:cs="Calibri"/>
          <w:b/>
          <w:color w:val="000000"/>
          <w:sz w:val="24"/>
          <w:szCs w:val="24"/>
        </w:rPr>
        <w:t>Section 4.03 Didactic Curriculum for Doctoral Degree in Psychoanalysis</w:t>
      </w:r>
      <w:r>
        <w:rPr>
          <w:rFonts w:eastAsia="Calibri" w:cs="Calibri"/>
          <w:color w:val="000000"/>
          <w:sz w:val="24"/>
          <w:szCs w:val="24"/>
        </w:rPr>
        <w:t xml:space="preserve"> </w:t>
      </w:r>
    </w:p>
    <w:p w14:paraId="00000004" w14:textId="77777777" w:rsidR="0017641A" w:rsidRDefault="00000000">
      <w:pPr>
        <w:pBdr>
          <w:top w:val="nil"/>
          <w:left w:val="nil"/>
          <w:bottom w:val="nil"/>
          <w:right w:val="nil"/>
          <w:between w:val="nil"/>
        </w:pBdr>
        <w:spacing w:before="240" w:after="0" w:line="240" w:lineRule="auto"/>
        <w:ind w:firstLine="0"/>
        <w:rPr>
          <w:rFonts w:eastAsia="Calibri" w:cs="Calibri"/>
          <w:color w:val="000000"/>
          <w:sz w:val="24"/>
          <w:szCs w:val="24"/>
        </w:rPr>
      </w:pPr>
      <w:r>
        <w:rPr>
          <w:rFonts w:eastAsia="Calibri" w:cs="Calibri"/>
          <w:color w:val="000000"/>
          <w:sz w:val="24"/>
          <w:szCs w:val="24"/>
        </w:rPr>
        <w:t>In addition to completing the core didactic curriculum, doctoral candidates will complete substantial additional hours of didactic instruction in clinical, conceptual and empirical research methodology, including research design and statistics, and research ethics including training in protection of human research participants. It is desirable for candidates to have didactic instruction and practical experience in supervision, and to participate in an advanced clinical case conference throughout their candidacy. Doctoral candidates will participate in a seminar on preparing a research proposal, and a seminar on evaluating reports of empirical and conceptual research if that was not part of the core curriculum. Candidates will participate in a research colloquium for at least one academic year and will continue their participation until they successfully defend their dissertation.</w:t>
      </w:r>
    </w:p>
    <w:p w14:paraId="00000006" w14:textId="77777777" w:rsidR="0017641A" w:rsidRDefault="00000000">
      <w:pPr>
        <w:spacing w:after="160" w:line="259" w:lineRule="auto"/>
        <w:ind w:firstLine="0"/>
        <w:rPr>
          <w:sz w:val="24"/>
          <w:szCs w:val="24"/>
        </w:rPr>
      </w:pPr>
      <w:r>
        <w:br w:type="page"/>
      </w:r>
    </w:p>
    <w:p w14:paraId="00000007" w14:textId="77777777" w:rsidR="0017641A" w:rsidRDefault="00000000">
      <w:pPr>
        <w:pBdr>
          <w:top w:val="nil"/>
          <w:left w:val="nil"/>
          <w:bottom w:val="nil"/>
          <w:right w:val="nil"/>
          <w:between w:val="nil"/>
        </w:pBdr>
        <w:spacing w:before="240" w:after="0" w:line="240" w:lineRule="auto"/>
        <w:ind w:firstLine="0"/>
        <w:rPr>
          <w:rFonts w:eastAsia="Calibri" w:cs="Calibri"/>
          <w:b/>
          <w:color w:val="000000"/>
          <w:sz w:val="28"/>
          <w:szCs w:val="28"/>
          <w:u w:val="single"/>
        </w:rPr>
      </w:pPr>
      <w:proofErr w:type="spellStart"/>
      <w:r>
        <w:rPr>
          <w:rFonts w:eastAsia="Calibri" w:cs="Calibri"/>
          <w:b/>
          <w:color w:val="000000"/>
          <w:sz w:val="28"/>
          <w:szCs w:val="28"/>
          <w:u w:val="single"/>
        </w:rPr>
        <w:lastRenderedPageBreak/>
        <w:t>ACPEinc</w:t>
      </w:r>
      <w:proofErr w:type="spellEnd"/>
      <w:r>
        <w:rPr>
          <w:rFonts w:eastAsia="Calibri" w:cs="Calibri"/>
          <w:b/>
          <w:color w:val="000000"/>
          <w:sz w:val="28"/>
          <w:szCs w:val="28"/>
          <w:u w:val="single"/>
        </w:rPr>
        <w:t xml:space="preserve"> Standard</w:t>
      </w:r>
    </w:p>
    <w:p w14:paraId="00000008" w14:textId="77777777" w:rsidR="0017641A" w:rsidRDefault="0017641A">
      <w:pPr>
        <w:pBdr>
          <w:top w:val="nil"/>
          <w:left w:val="nil"/>
          <w:bottom w:val="nil"/>
          <w:right w:val="nil"/>
          <w:between w:val="nil"/>
        </w:pBdr>
        <w:spacing w:after="0" w:line="240" w:lineRule="auto"/>
        <w:ind w:firstLine="0"/>
        <w:rPr>
          <w:rFonts w:eastAsia="Calibri" w:cs="Calibri"/>
          <w:b/>
          <w:color w:val="000000"/>
          <w:sz w:val="24"/>
          <w:szCs w:val="24"/>
        </w:rPr>
      </w:pPr>
    </w:p>
    <w:p w14:paraId="00000009" w14:textId="77777777" w:rsidR="0017641A" w:rsidRDefault="00000000">
      <w:pPr>
        <w:pBdr>
          <w:top w:val="nil"/>
          <w:left w:val="nil"/>
          <w:bottom w:val="nil"/>
          <w:right w:val="nil"/>
          <w:between w:val="nil"/>
        </w:pBdr>
        <w:spacing w:after="0" w:line="240" w:lineRule="auto"/>
        <w:ind w:firstLine="0"/>
        <w:rPr>
          <w:rFonts w:eastAsia="Calibri" w:cs="Calibri"/>
          <w:b/>
          <w:color w:val="000000"/>
          <w:sz w:val="24"/>
          <w:szCs w:val="24"/>
        </w:rPr>
      </w:pPr>
      <w:r>
        <w:rPr>
          <w:rFonts w:eastAsia="Calibri" w:cs="Calibri"/>
          <w:b/>
          <w:color w:val="000000"/>
          <w:sz w:val="24"/>
          <w:szCs w:val="24"/>
        </w:rPr>
        <w:t xml:space="preserve">Section 14.02 Graduation from Doctoral Degree Programs </w:t>
      </w:r>
    </w:p>
    <w:p w14:paraId="0000000A" w14:textId="77777777" w:rsidR="0017641A" w:rsidRDefault="0017641A">
      <w:pPr>
        <w:pBdr>
          <w:top w:val="nil"/>
          <w:left w:val="nil"/>
          <w:bottom w:val="nil"/>
          <w:right w:val="nil"/>
          <w:between w:val="nil"/>
        </w:pBdr>
        <w:spacing w:after="0" w:line="240" w:lineRule="auto"/>
        <w:ind w:firstLine="0"/>
        <w:rPr>
          <w:rFonts w:eastAsia="Calibri" w:cs="Calibri"/>
          <w:b/>
          <w:color w:val="000000"/>
          <w:sz w:val="24"/>
          <w:szCs w:val="24"/>
        </w:rPr>
      </w:pPr>
    </w:p>
    <w:p w14:paraId="0000000B" w14:textId="77777777" w:rsidR="0017641A" w:rsidRDefault="00000000">
      <w:pPr>
        <w:pBdr>
          <w:top w:val="nil"/>
          <w:left w:val="nil"/>
          <w:bottom w:val="nil"/>
          <w:right w:val="nil"/>
          <w:between w:val="nil"/>
        </w:pBdr>
        <w:spacing w:after="0" w:line="240" w:lineRule="auto"/>
        <w:ind w:firstLine="0"/>
        <w:rPr>
          <w:rFonts w:eastAsia="Calibri" w:cs="Calibri"/>
          <w:color w:val="000000"/>
          <w:sz w:val="24"/>
          <w:szCs w:val="24"/>
        </w:rPr>
      </w:pPr>
      <w:r>
        <w:rPr>
          <w:rFonts w:eastAsia="Calibri" w:cs="Calibri"/>
          <w:color w:val="000000"/>
          <w:sz w:val="24"/>
          <w:szCs w:val="24"/>
        </w:rPr>
        <w:t xml:space="preserve">Candidates for a doctoral degree in Psychoanalysis will have completed all requirements for graduation from the program’s core program in clinical psychoanalysis. </w:t>
      </w:r>
      <w:r>
        <w:rPr>
          <w:rFonts w:eastAsia="Calibri" w:cs="Calibri"/>
          <w:color w:val="000000"/>
          <w:sz w:val="24"/>
          <w:szCs w:val="24"/>
          <w:highlight w:val="yellow"/>
        </w:rPr>
        <w:t>In addition, the awarding of a doctoral degree in psychoanalysis must meet regional and or national standards for a doctoral degree program.</w:t>
      </w:r>
      <w:r>
        <w:rPr>
          <w:rFonts w:eastAsia="Calibri" w:cs="Calibri"/>
          <w:color w:val="000000"/>
          <w:sz w:val="24"/>
          <w:szCs w:val="24"/>
        </w:rPr>
        <w:t xml:space="preserve"> Programs shall determine the competence of their students in psychoanalytic practice and scholarship generally and specifically in the integration of psychoanalytic theory and research with clinical practice. Candidates will successfully defend a dissertation that is expected to meet standards for publication in a peer-reviewed professional journal. Candidates shall demonstrate all educational and legal prerequisites for independent practice of a health care profession prior to being awarded a degree</w:t>
      </w:r>
      <w:r w:rsidRPr="00D46A24">
        <w:rPr>
          <w:rFonts w:eastAsia="Calibri" w:cs="Calibri"/>
          <w:color w:val="000000"/>
          <w:sz w:val="24"/>
          <w:szCs w:val="24"/>
        </w:rPr>
        <w:t>.</w:t>
      </w:r>
    </w:p>
    <w:p w14:paraId="00000016" w14:textId="2D2ECAA4" w:rsidR="0017641A" w:rsidRDefault="00C50686">
      <w:pPr>
        <w:pBdr>
          <w:top w:val="nil"/>
          <w:left w:val="nil"/>
          <w:bottom w:val="nil"/>
          <w:right w:val="nil"/>
          <w:between w:val="nil"/>
        </w:pBdr>
        <w:spacing w:after="0" w:line="240" w:lineRule="auto"/>
        <w:ind w:firstLine="0"/>
        <w:rPr>
          <w:rFonts w:eastAsia="Calibri" w:cs="Calibri"/>
          <w:b/>
          <w:color w:val="000000"/>
          <w:sz w:val="24"/>
          <w:szCs w:val="24"/>
        </w:rPr>
      </w:pPr>
      <w:r>
        <w:rPr>
          <w:rFonts w:eastAsia="Calibri" w:cs="Calibri"/>
          <w:b/>
          <w:color w:val="000000"/>
          <w:sz w:val="24"/>
          <w:szCs w:val="24"/>
        </w:rPr>
        <w:br/>
      </w:r>
    </w:p>
    <w:p w14:paraId="00000018" w14:textId="6A392434" w:rsidR="0017641A" w:rsidRPr="00C50686" w:rsidRDefault="00000000" w:rsidP="00C50686">
      <w:pPr>
        <w:spacing w:after="160" w:line="259" w:lineRule="auto"/>
        <w:ind w:firstLine="0"/>
        <w:rPr>
          <w:sz w:val="24"/>
          <w:szCs w:val="24"/>
        </w:rPr>
      </w:pPr>
      <w:proofErr w:type="spellStart"/>
      <w:r>
        <w:rPr>
          <w:rFonts w:eastAsia="Calibri" w:cs="Calibri"/>
          <w:b/>
          <w:color w:val="000000"/>
          <w:sz w:val="28"/>
          <w:szCs w:val="28"/>
          <w:u w:val="single"/>
        </w:rPr>
        <w:t>ACPEinc</w:t>
      </w:r>
      <w:proofErr w:type="spellEnd"/>
      <w:r>
        <w:rPr>
          <w:rFonts w:eastAsia="Calibri" w:cs="Calibri"/>
          <w:b/>
          <w:color w:val="000000"/>
          <w:sz w:val="28"/>
          <w:szCs w:val="28"/>
          <w:u w:val="single"/>
        </w:rPr>
        <w:t xml:space="preserve"> Standard</w:t>
      </w:r>
    </w:p>
    <w:p w14:paraId="0000001B" w14:textId="77777777" w:rsidR="0017641A" w:rsidRDefault="00000000">
      <w:pPr>
        <w:pBdr>
          <w:top w:val="nil"/>
          <w:left w:val="nil"/>
          <w:bottom w:val="nil"/>
          <w:right w:val="nil"/>
          <w:between w:val="nil"/>
        </w:pBdr>
        <w:spacing w:after="0" w:line="240" w:lineRule="auto"/>
        <w:ind w:firstLine="0"/>
        <w:rPr>
          <w:rFonts w:eastAsia="Calibri" w:cs="Calibri"/>
          <w:b/>
          <w:color w:val="000000"/>
          <w:sz w:val="24"/>
          <w:szCs w:val="24"/>
        </w:rPr>
      </w:pPr>
      <w:r>
        <w:rPr>
          <w:rFonts w:eastAsia="Calibri" w:cs="Calibri"/>
          <w:b/>
          <w:color w:val="000000"/>
          <w:sz w:val="24"/>
          <w:szCs w:val="24"/>
        </w:rPr>
        <w:t>Article XI Analysts of Candidates and Supervisors of Clinical Work</w:t>
      </w:r>
    </w:p>
    <w:p w14:paraId="0000001C" w14:textId="77777777" w:rsidR="0017641A" w:rsidRDefault="0017641A">
      <w:pPr>
        <w:pBdr>
          <w:top w:val="nil"/>
          <w:left w:val="nil"/>
          <w:bottom w:val="nil"/>
          <w:right w:val="nil"/>
          <w:between w:val="nil"/>
        </w:pBdr>
        <w:spacing w:after="0" w:line="240" w:lineRule="auto"/>
        <w:ind w:firstLine="0"/>
        <w:rPr>
          <w:rFonts w:eastAsia="Calibri" w:cs="Calibri"/>
          <w:b/>
          <w:color w:val="000000"/>
          <w:sz w:val="24"/>
          <w:szCs w:val="24"/>
        </w:rPr>
      </w:pPr>
    </w:p>
    <w:p w14:paraId="0000001D" w14:textId="77777777" w:rsidR="0017641A" w:rsidRDefault="00000000">
      <w:pPr>
        <w:pBdr>
          <w:top w:val="nil"/>
          <w:left w:val="nil"/>
          <w:bottom w:val="nil"/>
          <w:right w:val="nil"/>
          <w:between w:val="nil"/>
        </w:pBdr>
        <w:spacing w:after="0" w:line="240" w:lineRule="auto"/>
        <w:ind w:firstLine="0"/>
        <w:rPr>
          <w:rFonts w:eastAsia="Calibri" w:cs="Calibri"/>
          <w:b/>
          <w:color w:val="000000"/>
          <w:sz w:val="24"/>
          <w:szCs w:val="24"/>
        </w:rPr>
      </w:pPr>
      <w:r>
        <w:rPr>
          <w:rFonts w:eastAsia="Calibri" w:cs="Calibri"/>
          <w:b/>
          <w:color w:val="000000"/>
          <w:sz w:val="24"/>
          <w:szCs w:val="24"/>
        </w:rPr>
        <w:t>Section 11.01 Analysts of Candidates</w:t>
      </w:r>
    </w:p>
    <w:p w14:paraId="0000001E" w14:textId="77777777" w:rsidR="0017641A" w:rsidRDefault="0017641A">
      <w:pPr>
        <w:pBdr>
          <w:top w:val="nil"/>
          <w:left w:val="nil"/>
          <w:bottom w:val="nil"/>
          <w:right w:val="nil"/>
          <w:between w:val="nil"/>
        </w:pBdr>
        <w:spacing w:after="0" w:line="240" w:lineRule="auto"/>
        <w:ind w:firstLine="0"/>
        <w:rPr>
          <w:rFonts w:eastAsia="Calibri" w:cs="Calibri"/>
          <w:b/>
          <w:color w:val="000000"/>
          <w:sz w:val="24"/>
          <w:szCs w:val="24"/>
        </w:rPr>
      </w:pPr>
    </w:p>
    <w:p w14:paraId="0000001F" w14:textId="77777777" w:rsidR="0017641A" w:rsidRDefault="00000000">
      <w:pPr>
        <w:pBdr>
          <w:top w:val="nil"/>
          <w:left w:val="nil"/>
          <w:bottom w:val="nil"/>
          <w:right w:val="nil"/>
          <w:between w:val="nil"/>
        </w:pBdr>
        <w:spacing w:after="0" w:line="240" w:lineRule="auto"/>
        <w:ind w:firstLine="0"/>
        <w:rPr>
          <w:rFonts w:eastAsia="Calibri" w:cs="Calibri"/>
          <w:color w:val="000000"/>
          <w:sz w:val="24"/>
          <w:szCs w:val="24"/>
        </w:rPr>
      </w:pPr>
      <w:r>
        <w:rPr>
          <w:rFonts w:eastAsia="Calibri" w:cs="Calibri"/>
          <w:color w:val="000000"/>
          <w:sz w:val="24"/>
          <w:szCs w:val="24"/>
        </w:rPr>
        <w:t>4. Have had an experience dedicated to the recognition of implicit biases at a site separate from that of the program(s) in which they serve.</w:t>
      </w:r>
    </w:p>
    <w:p w14:paraId="00000020" w14:textId="77777777" w:rsidR="0017641A" w:rsidRDefault="0017641A">
      <w:pPr>
        <w:pBdr>
          <w:top w:val="nil"/>
          <w:left w:val="nil"/>
          <w:bottom w:val="nil"/>
          <w:right w:val="nil"/>
          <w:between w:val="nil"/>
        </w:pBdr>
        <w:spacing w:after="0" w:line="240" w:lineRule="auto"/>
        <w:ind w:firstLine="0"/>
        <w:rPr>
          <w:rFonts w:eastAsia="Calibri" w:cs="Calibri"/>
          <w:color w:val="000000"/>
          <w:sz w:val="24"/>
          <w:szCs w:val="24"/>
        </w:rPr>
      </w:pPr>
    </w:p>
    <w:p w14:paraId="00000021" w14:textId="77777777" w:rsidR="0017641A" w:rsidRDefault="00000000">
      <w:pPr>
        <w:pBdr>
          <w:top w:val="nil"/>
          <w:left w:val="nil"/>
          <w:bottom w:val="nil"/>
          <w:right w:val="nil"/>
          <w:between w:val="nil"/>
        </w:pBdr>
        <w:spacing w:after="0" w:line="240" w:lineRule="auto"/>
        <w:ind w:firstLine="0"/>
        <w:rPr>
          <w:rFonts w:eastAsia="Calibri" w:cs="Calibri"/>
          <w:b/>
          <w:color w:val="000000"/>
          <w:sz w:val="24"/>
          <w:szCs w:val="24"/>
        </w:rPr>
      </w:pPr>
      <w:r>
        <w:rPr>
          <w:rFonts w:eastAsia="Calibri" w:cs="Calibri"/>
          <w:b/>
          <w:color w:val="000000"/>
          <w:sz w:val="24"/>
          <w:szCs w:val="24"/>
        </w:rPr>
        <w:t>Section 11.02 Supervisors</w:t>
      </w:r>
    </w:p>
    <w:p w14:paraId="00000022" w14:textId="77777777" w:rsidR="0017641A" w:rsidRDefault="0017641A">
      <w:pPr>
        <w:pBdr>
          <w:top w:val="nil"/>
          <w:left w:val="nil"/>
          <w:bottom w:val="nil"/>
          <w:right w:val="nil"/>
          <w:between w:val="nil"/>
        </w:pBdr>
        <w:spacing w:after="0" w:line="240" w:lineRule="auto"/>
        <w:ind w:firstLine="0"/>
        <w:rPr>
          <w:rFonts w:eastAsia="Calibri" w:cs="Calibri"/>
          <w:b/>
          <w:color w:val="000000"/>
          <w:sz w:val="24"/>
          <w:szCs w:val="24"/>
        </w:rPr>
      </w:pPr>
    </w:p>
    <w:p w14:paraId="00000023" w14:textId="77777777" w:rsidR="0017641A" w:rsidRDefault="00000000">
      <w:pPr>
        <w:pBdr>
          <w:top w:val="nil"/>
          <w:left w:val="nil"/>
          <w:bottom w:val="nil"/>
          <w:right w:val="nil"/>
          <w:between w:val="nil"/>
        </w:pBdr>
        <w:spacing w:after="0" w:line="240" w:lineRule="auto"/>
        <w:ind w:firstLine="0"/>
        <w:rPr>
          <w:rFonts w:eastAsia="Calibri" w:cs="Calibri"/>
          <w:b/>
          <w:color w:val="000000"/>
          <w:sz w:val="24"/>
          <w:szCs w:val="24"/>
        </w:rPr>
      </w:pPr>
      <w:r>
        <w:rPr>
          <w:rFonts w:eastAsia="Calibri" w:cs="Calibri"/>
          <w:color w:val="000000"/>
          <w:sz w:val="24"/>
          <w:szCs w:val="24"/>
        </w:rPr>
        <w:t>4. Have had an experience dedicated to the recognition of implicit biases at a site separate from that of the program(s) in which they serve.</w:t>
      </w:r>
    </w:p>
    <w:p w14:paraId="00000024" w14:textId="77777777" w:rsidR="0017641A" w:rsidRDefault="0017641A">
      <w:pPr>
        <w:pBdr>
          <w:top w:val="nil"/>
          <w:left w:val="nil"/>
          <w:bottom w:val="nil"/>
          <w:right w:val="nil"/>
          <w:between w:val="nil"/>
        </w:pBdr>
        <w:spacing w:after="0" w:line="240" w:lineRule="auto"/>
        <w:ind w:firstLine="0"/>
        <w:rPr>
          <w:rFonts w:eastAsia="Calibri" w:cs="Calibri"/>
          <w:color w:val="000000"/>
          <w:sz w:val="24"/>
          <w:szCs w:val="24"/>
        </w:rPr>
      </w:pPr>
    </w:p>
    <w:sectPr w:rsidR="0017641A" w:rsidSect="00C50686">
      <w:pgSz w:w="12240" w:h="15840"/>
      <w:pgMar w:top="1260" w:right="1440" w:bottom="1170" w:left="1440" w:header="0" w:footer="0" w:gutter="0"/>
      <w:pgNumType w:start="1"/>
      <w:cols w:num="2" w:space="720" w:equalWidth="0">
        <w:col w:w="4320" w:space="720"/>
        <w:col w:w="432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FreeSans">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41A"/>
    <w:rsid w:val="0017641A"/>
    <w:rsid w:val="00C50686"/>
    <w:rsid w:val="00D46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2BDBD"/>
  <w15:docId w15:val="{C4766ACE-0F6C-4BAF-9CD5-2D782097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40" w:line="480" w:lineRule="auto"/>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42C"/>
    <w:rPr>
      <w:rFonts w:eastAsia="Times New Roma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D77A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7042C"/>
    <w:pPr>
      <w:spacing w:before="320" w:after="0" w:line="360" w:lineRule="auto"/>
      <w:ind w:firstLine="0"/>
      <w:outlineLvl w:val="2"/>
    </w:pPr>
    <w:rPr>
      <w:rFonts w:ascii="Cambria" w:hAnsi="Cambria"/>
      <w:b/>
      <w:bCs/>
      <w:i/>
      <w:iCs/>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qFormat/>
    <w:rsid w:val="0017042C"/>
    <w:rPr>
      <w:rFonts w:ascii="Cambria" w:eastAsia="Times New Roman" w:hAnsi="Cambria" w:cs="Times New Roman"/>
      <w:b/>
      <w:bCs/>
      <w:i/>
      <w:iCs/>
      <w:sz w:val="26"/>
      <w:szCs w:val="26"/>
    </w:rPr>
  </w:style>
  <w:style w:type="character" w:customStyle="1" w:styleId="Heading2Char">
    <w:name w:val="Heading 2 Char"/>
    <w:basedOn w:val="DefaultParagraphFont"/>
    <w:link w:val="Heading2"/>
    <w:uiPriority w:val="9"/>
    <w:semiHidden/>
    <w:qFormat/>
    <w:rsid w:val="00D77A4C"/>
    <w:rPr>
      <w:rFonts w:asciiTheme="majorHAnsi" w:eastAsiaTheme="majorEastAsia" w:hAnsiTheme="majorHAnsi" w:cstheme="majorBidi"/>
      <w:color w:val="2F5496" w:themeColor="accent1" w:themeShade="BF"/>
      <w:sz w:val="26"/>
      <w:szCs w:val="26"/>
    </w:rPr>
  </w:style>
  <w:style w:type="paragraph" w:customStyle="1" w:styleId="Heading">
    <w:name w:val="Heading"/>
    <w:basedOn w:val="Normal"/>
    <w:next w:val="BodyText"/>
    <w:qFormat/>
    <w:pPr>
      <w:keepNext/>
      <w:spacing w:before="240" w:after="120"/>
    </w:pPr>
    <w:rPr>
      <w:rFonts w:ascii="Liberation Sans" w:eastAsia="DejaVu Sans"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NoSpacing">
    <w:name w:val="No Spacing"/>
    <w:basedOn w:val="Normal"/>
    <w:uiPriority w:val="1"/>
    <w:qFormat/>
    <w:rsid w:val="0017042C"/>
    <w:pPr>
      <w:spacing w:after="0" w:line="240" w:lineRule="auto"/>
      <w:ind w:firstLine="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DbMWr0zHh53ijSgDy9Riv0UTg==">AMUW2mW9ZtsoDFFxumD4axMZDaNYPegau+TGJVwhuauETGHkP9xPUSPxVG1gqAbvskeln/1+dfa1KNWdbDozccvJoA3TGr6Xpy2umYYcjmBhPI61FyESzDs=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2503</Characters>
  <Application>Microsoft Office Word</Application>
  <DocSecurity>0</DocSecurity>
  <Lines>20</Lines>
  <Paragraphs>5</Paragraphs>
  <ScaleCrop>false</ScaleCrop>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Wiliam MacGillivay</dc:creator>
  <cp:lastModifiedBy>o m</cp:lastModifiedBy>
  <cp:revision>3</cp:revision>
  <dcterms:created xsi:type="dcterms:W3CDTF">2022-10-12T16:54:00Z</dcterms:created>
  <dcterms:modified xsi:type="dcterms:W3CDTF">2022-10-14T15:02:00Z</dcterms:modified>
</cp:coreProperties>
</file>